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eastAsia" w:ascii="黑体" w:hAnsi="黑体" w:eastAsia="黑体" w:cs="黑体"/>
          <w:b w:val="0"/>
          <w:bCs/>
          <w:color w:val="000000"/>
          <w:kern w:val="0"/>
          <w:sz w:val="32"/>
          <w:szCs w:val="32"/>
          <w:lang w:val="en-US" w:eastAsia="zh-CN" w:bidi="ar"/>
        </w:rPr>
      </w:pPr>
      <w:bookmarkStart w:id="0" w:name="_GoBack"/>
      <w:bookmarkEnd w:id="0"/>
      <w:r>
        <w:rPr>
          <w:rFonts w:hint="eastAsia" w:ascii="黑体" w:hAnsi="黑体" w:eastAsia="黑体" w:cs="黑体"/>
          <w:b w:val="0"/>
          <w:bCs/>
          <w:color w:val="000000"/>
          <w:kern w:val="0"/>
          <w:sz w:val="32"/>
          <w:szCs w:val="32"/>
          <w:lang w:val="en-US" w:eastAsia="zh-CN" w:bidi="ar"/>
        </w:rPr>
        <w:t>附件1</w:t>
      </w:r>
    </w:p>
    <w:tbl>
      <w:tblPr>
        <w:tblStyle w:val="3"/>
        <w:tblW w:w="1458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5"/>
        <w:gridCol w:w="2760"/>
        <w:gridCol w:w="6300"/>
        <w:gridCol w:w="1740"/>
        <w:gridCol w:w="3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4580" w:type="dxa"/>
            <w:gridSpan w:val="5"/>
            <w:noWrap w:val="0"/>
            <w:vAlign w:val="center"/>
          </w:tcPr>
          <w:p>
            <w:pPr>
              <w:keepNext w:val="0"/>
              <w:keepLines w:val="0"/>
              <w:widowControl/>
              <w:suppressLineNumbers w:val="0"/>
              <w:jc w:val="center"/>
              <w:rPr>
                <w:rFonts w:ascii="方正小标宋简体" w:hAnsi="方正小标宋简体" w:eastAsia="方正小标宋简体" w:cs="方正小标宋简体"/>
                <w:b/>
                <w:color w:val="000000"/>
                <w:sz w:val="40"/>
                <w:szCs w:val="40"/>
              </w:rPr>
            </w:pPr>
            <w:r>
              <w:rPr>
                <w:rFonts w:hint="eastAsia" w:ascii="方正小标宋简体" w:hAnsi="方正小标宋简体" w:eastAsia="方正小标宋简体" w:cs="方正小标宋简体"/>
                <w:b/>
                <w:color w:val="000000"/>
                <w:kern w:val="0"/>
                <w:sz w:val="40"/>
                <w:szCs w:val="40"/>
                <w:lang w:val="en-US" w:eastAsia="zh-CN" w:bidi="ar"/>
              </w:rPr>
              <w:t>常德市卫生健康领域首次轻微违法行为免罚清单（第一批）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ascii="仿宋_GB2312" w:eastAsia="仿宋_GB2312" w:cs="仿宋_GB2312"/>
                <w:b/>
                <w:color w:val="000000"/>
              </w:rPr>
            </w:pPr>
            <w:r>
              <w:rPr>
                <w:rFonts w:hint="eastAsia" w:ascii="仿宋_GB2312" w:hAnsi="宋体" w:eastAsia="仿宋_GB2312" w:cs="仿宋_GB2312"/>
                <w:b/>
                <w:color w:val="000000"/>
                <w:kern w:val="0"/>
                <w:sz w:val="24"/>
                <w:szCs w:val="24"/>
                <w:lang w:val="en-US" w:eastAsia="zh-CN" w:bidi="ar"/>
              </w:rPr>
              <w:t>序号</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b/>
                <w:color w:val="000000"/>
              </w:rPr>
            </w:pPr>
            <w:r>
              <w:rPr>
                <w:rFonts w:hint="eastAsia" w:ascii="仿宋_GB2312" w:hAnsi="宋体" w:eastAsia="仿宋_GB2312" w:cs="仿宋_GB2312"/>
                <w:b/>
                <w:color w:val="000000"/>
                <w:kern w:val="0"/>
                <w:sz w:val="24"/>
                <w:szCs w:val="24"/>
                <w:lang w:val="en-US" w:eastAsia="zh-CN" w:bidi="ar"/>
              </w:rPr>
              <w:t>事项名称</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b/>
                <w:color w:val="000000"/>
              </w:rPr>
            </w:pPr>
            <w:r>
              <w:rPr>
                <w:rFonts w:hint="eastAsia" w:ascii="仿宋_GB2312" w:hAnsi="宋体" w:eastAsia="仿宋_GB2312" w:cs="仿宋_GB2312"/>
                <w:b/>
                <w:color w:val="000000"/>
                <w:kern w:val="0"/>
                <w:sz w:val="24"/>
                <w:szCs w:val="24"/>
                <w:lang w:val="en-US" w:eastAsia="zh-CN" w:bidi="ar"/>
              </w:rPr>
              <w:t>实施依据</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b/>
                <w:color w:val="000000"/>
              </w:rPr>
            </w:pPr>
            <w:r>
              <w:rPr>
                <w:rFonts w:hint="eastAsia" w:ascii="仿宋_GB2312" w:hAnsi="宋体" w:eastAsia="仿宋_GB2312" w:cs="仿宋_GB2312"/>
                <w:b/>
                <w:color w:val="000000"/>
                <w:kern w:val="0"/>
                <w:sz w:val="24"/>
                <w:szCs w:val="24"/>
                <w:lang w:val="en-US" w:eastAsia="zh-CN" w:bidi="ar"/>
              </w:rPr>
              <w:t>免罚情形</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b/>
                <w:color w:val="000000"/>
              </w:rPr>
            </w:pPr>
            <w:r>
              <w:rPr>
                <w:rFonts w:hint="eastAsia" w:ascii="仿宋_GB2312" w:hAnsi="宋体" w:eastAsia="仿宋_GB2312" w:cs="仿宋_GB2312"/>
                <w:b/>
                <w:color w:val="000000"/>
                <w:kern w:val="0"/>
                <w:sz w:val="24"/>
                <w:szCs w:val="24"/>
                <w:lang w:val="en-US" w:eastAsia="zh-CN" w:bidi="ar"/>
              </w:rPr>
              <w:t>适用条件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对在禁止吸烟的公共场所吸烟个人的处罚</w:t>
            </w:r>
          </w:p>
          <w:p>
            <w:pPr>
              <w:keepNext w:val="0"/>
              <w:keepLines w:val="0"/>
              <w:widowControl/>
              <w:suppressLineNumbers w:val="0"/>
              <w:jc w:val="left"/>
              <w:rPr>
                <w:rFonts w:hint="eastAsia" w:ascii="仿宋_GB2312" w:hAnsi="宋体" w:eastAsia="仿宋_GB2312" w:cs="仿宋_GB2312"/>
                <w:color w:val="000000"/>
                <w:kern w:val="0"/>
                <w:sz w:val="20"/>
                <w:szCs w:val="20"/>
                <w:lang w:val="en-US" w:eastAsia="zh-CN" w:bidi="ar"/>
              </w:rPr>
            </w:pP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w:t>
            </w:r>
            <w:r>
              <w:rPr>
                <w:rFonts w:hint="eastAsia" w:ascii="仿宋_GB2312" w:hAnsi="宋体" w:eastAsia="仿宋_GB2312" w:cs="仿宋_GB2312"/>
                <w:color w:val="000000"/>
                <w:kern w:val="0"/>
                <w:sz w:val="20"/>
                <w:szCs w:val="20"/>
                <w:lang w:val="en-US" w:eastAsia="zh-CN" w:bidi="ar"/>
              </w:rPr>
              <w:t>常德市文明行为促进条例</w:t>
            </w:r>
            <w:r>
              <w:rPr>
                <w:rFonts w:hint="eastAsia" w:ascii="仿宋_GB2312" w:hAnsi="宋体" w:eastAsia="仿宋_GB2312" w:cs="仿宋_GB2312"/>
                <w:color w:val="000000"/>
                <w:kern w:val="0"/>
                <w:sz w:val="20"/>
                <w:szCs w:val="20"/>
                <w:lang w:val="en-US" w:eastAsia="zh-CN" w:bidi="ar"/>
              </w:rPr>
              <w:t>》第二十条：违反本条例第十一条第一款规定，在禁止吸烟的公共场所吸烟的，由卫生健康部门责令改正，给予警告，可以并处五百元以下罚款。</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首违不罚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1.初次违法；</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2.危害后果轻微；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3.及时改正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2</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对乡村医生变更执业的村医疗卫生机构，未办理变更执业注册手续的处罚</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《乡村医生从业管理条例》第四十条：乡村医生变更执业的村医疗卫生机构，未办理变更执业注册手续的，由县级人民政府卫生行政主管部门给予警告，责令限期办理变更注册手续。</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轻微不罚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1.违法行为轻微；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2.在规定期限内及时改正；</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5"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3</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对未依照《护士条例》规定履行护士管理职责的处罚</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《护士条例》第三十条：医疗卫生机构有下列情形之一的，由县级以上地方人民政府卫生主管部门依据职责分工责令限期改正，给予警告：(二)未依照本条例规定履行护士管理职责的。</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首违不罚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1.初次违法；</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2.危害后果轻微；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3.在规定期限内及时改正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6"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4</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非药学部门从事抗菌药物购销、调剂活动的处罚</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抗菌药物临床应用管理办法》（卫生部令第84号令）第五十条医疗机构有下列情形之一的，由县级以上卫生行政部门责令限期改正，给予警告，并可根据情节轻重处以三万元以下罚款：（三）非药学部门从事抗菌药物购销、调剂活动的。</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轻微不罚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1.违法行为轻微；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2.在规定期限内及时改正；</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6"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5</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医疗卫生机构未建立、健全医疗废物管理制度，或者未设置监控部门或者专（兼）职人员的处罚</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医疗废物管理条例》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轻微不罚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1.违法行为轻微；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2.在规定期限内及时改正；</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3.没有造成危害后果；</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4.建立了医疗废物管理制度；</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5.设置了监控部门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6"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6</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对未给从事放射工作的人员办理《放射工作人员证》的处罚</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《放射工作人员职业健康管理办法》第三十九条：放射工作单位违反本办法，未给从事放射工作的人员办理《放射工作人员证》的，由卫生行政部门责令限期改正，给予警告，并可处3万元以下的罚款。</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轻微不罚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1.初次违法；</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2.危害后果轻微；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3.在规定期限内及时改正；</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4.有放射防护和有关法律知识培训考核合格证明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1"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7</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对未按规定对顾客用品用具进行保洁的处罚</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公共场所卫生管理条例实施细则》第三十六条：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二）未按照规定对顾客用品用具进行清洗、消毒、保洁，或者重复使用一次性用品用具的。</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轻微不罚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1.初次违法；</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2.危害后果轻微；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3.在规定期限内及时改正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1"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8</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对学校教室前排课桌椅设置不符合标准的处罚</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学校卫生工作条例》第三十三条：违反本条例第六条第一款、第七条和第十条规定的，由卫生行政部门对直接责任单位或者个人给予警告并责令限期改进。情节严重的，可以同时建议教育行政部门给予行政处分。</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轻微不罚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1.违法行为轻微；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2.在规定期限内及时改正；</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6"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9</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对学校教室各列课桌间纵向宽度设置不符合标准的处罚</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《学校卫生工作条例》第三十三条   违反本条例第六条第一款、第七条和第十条规定的，由卫生行政部门对直接责任单位或者个人给予警告并责令限期改进。情节严重的，可以同时建议教育行政部门给予行政处分。</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轻微不罚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1.违法行为轻微；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2.在规定期限内及时改正；</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0"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eastAsia="仿宋_GB2312" w:cs="仿宋_GB2312"/>
                <w:color w:val="000000"/>
                <w:sz w:val="20"/>
                <w:szCs w:val="20"/>
                <w:lang w:val="en-US"/>
              </w:rPr>
            </w:pPr>
            <w:r>
              <w:rPr>
                <w:rFonts w:hint="eastAsia" w:ascii="仿宋_GB2312" w:hAnsi="宋体" w:eastAsia="仿宋_GB2312" w:cs="仿宋_GB2312"/>
                <w:color w:val="000000"/>
                <w:kern w:val="0"/>
                <w:sz w:val="20"/>
                <w:szCs w:val="20"/>
                <w:lang w:val="en-US" w:eastAsia="zh-CN" w:bidi="ar"/>
              </w:rPr>
              <w:t>10</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sz w:val="20"/>
                <w:szCs w:val="20"/>
              </w:rPr>
            </w:pPr>
            <w:r>
              <w:rPr>
                <w:rFonts w:hint="eastAsia" w:ascii="仿宋_GB2312" w:hAnsi="宋体" w:eastAsia="仿宋_GB2312" w:cs="仿宋_GB2312"/>
                <w:kern w:val="0"/>
                <w:sz w:val="20"/>
                <w:szCs w:val="20"/>
                <w:lang w:val="en-US" w:eastAsia="zh-CN" w:bidi="ar"/>
              </w:rPr>
              <w:t>对未建立餐具、饮具出厂检验记录制度的处罚</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中华人民共和国食品安全法》第一百二十六条第二款：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中华人民共和国食品安全法实施条例》第七十一条：餐具饮具集中消毒服务单位未按照规定建立并遵守出厂检验记录制度的，由县级以上人民政府卫生行政部门依照食品安全法第一百二十六条第一款、本条例第七十五条的规定给予处罚；第七十五条：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二)违法行为性质恶劣；(三)违法行为造成严重后果。属于食品安全法第一百二十五条第二款规定情形的，不适用前款规定。</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轻微不罚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1.违法行为轻微；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2.在规定期限内及时改正；</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8"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eastAsia="仿宋_GB2312" w:cs="仿宋_GB2312"/>
                <w:color w:val="000000"/>
                <w:sz w:val="20"/>
                <w:szCs w:val="20"/>
                <w:lang w:val="en-US"/>
              </w:rPr>
            </w:pPr>
            <w:r>
              <w:rPr>
                <w:rFonts w:hint="eastAsia" w:ascii="仿宋_GB2312" w:hAnsi="宋体" w:eastAsia="仿宋_GB2312" w:cs="仿宋_GB2312"/>
                <w:color w:val="000000"/>
                <w:kern w:val="0"/>
                <w:sz w:val="20"/>
                <w:szCs w:val="20"/>
                <w:lang w:val="en-US" w:eastAsia="zh-CN" w:bidi="ar"/>
              </w:rPr>
              <w:t>11</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对工作场所职业病危害因素检测、评价结果未按照规定上报和公布的处罚</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中华人民共和国职业病防治法》第七十条：违反本法规定，有下列行为之一的，由卫生行政部门给予警告，责令限期改正；逾期不改正的，处十万元以下的罚款：（一）工作场所职业病危害因素检测、评价结果没有存档、上报、公布的；《工作场所职业卫生管理规定》第四十八条：用人单位有下列情形之一的，责令限期改正，给予警告；逾期未改正的，处十万元以下的罚款：（八）工作场所职业病危害因素检测、评价结果未按照规定存档、上报和公布的。</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轻微不罚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000000"/>
                <w:sz w:val="20"/>
                <w:szCs w:val="20"/>
              </w:rPr>
            </w:pPr>
            <w:r>
              <w:rPr>
                <w:rFonts w:hint="eastAsia" w:ascii="仿宋_GB2312" w:hAnsi="宋体" w:eastAsia="仿宋_GB2312" w:cs="仿宋_GB2312"/>
                <w:color w:val="000000"/>
                <w:kern w:val="0"/>
                <w:sz w:val="20"/>
                <w:szCs w:val="20"/>
                <w:lang w:val="en-US" w:eastAsia="zh-CN" w:bidi="ar"/>
              </w:rPr>
              <w:t>1.违法行为轻微；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2.在规定期限内及时改正；</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3.没有造成危害后果；</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4.工作场所职业病危害因素检测、评价结果已按照规定存档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eastAsia="仿宋_GB2312" w:cs="仿宋_GB2312"/>
                <w:color w:val="000000"/>
                <w:sz w:val="28"/>
                <w:szCs w:val="28"/>
                <w:lang w:val="en-US" w:eastAsia="zh-CN"/>
              </w:rPr>
            </w:pPr>
            <w:r>
              <w:rPr>
                <w:rFonts w:hint="eastAsia" w:ascii="仿宋_GB2312" w:hAnsi="宋体" w:eastAsia="仿宋_GB2312" w:cs="仿宋_GB2312"/>
                <w:color w:val="000000"/>
                <w:kern w:val="0"/>
                <w:sz w:val="20"/>
                <w:szCs w:val="20"/>
                <w:lang w:val="en-US" w:eastAsia="zh-CN" w:bidi="ar"/>
              </w:rPr>
              <w:t>12</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未按照规定组织从业人员进行相关卫生法律知识和公共场所卫生知识培训，或者安排未经相关卫生法律知识和公共场所卫生知识培训考核的从业人员上岗的处罚</w:t>
            </w:r>
          </w:p>
          <w:p>
            <w:pPr>
              <w:keepNext w:val="0"/>
              <w:keepLines w:val="0"/>
              <w:widowControl/>
              <w:suppressLineNumbers w:val="0"/>
              <w:jc w:val="left"/>
              <w:rPr>
                <w:rFonts w:hint="eastAsia" w:ascii="仿宋_GB2312" w:hAnsi="宋体" w:eastAsia="仿宋_GB2312" w:cs="仿宋_GB2312"/>
                <w:color w:val="000000"/>
                <w:kern w:val="0"/>
                <w:sz w:val="20"/>
                <w:szCs w:val="20"/>
                <w:lang w:val="en-US" w:eastAsia="zh-CN" w:bidi="ar"/>
              </w:rPr>
            </w:pPr>
          </w:p>
        </w:tc>
        <w:tc>
          <w:tcPr>
            <w:tcW w:w="6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《公共场所卫生管理条例实施细则》第三十七条　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(二)未按照规定组织从业人员进行相关卫生法律知识和公共场所卫生知识培训，或者安排未经相关卫生法律知识和公共场所卫生知识培训考核的从业人员上岗的；</w:t>
            </w:r>
          </w:p>
          <w:p>
            <w:pPr>
              <w:keepNext w:val="0"/>
              <w:keepLines w:val="0"/>
              <w:widowControl/>
              <w:suppressLineNumbers w:val="0"/>
              <w:jc w:val="left"/>
              <w:rPr>
                <w:rFonts w:hint="eastAsia" w:ascii="仿宋_GB2312" w:hAnsi="宋体" w:eastAsia="仿宋_GB2312" w:cs="仿宋_GB2312"/>
                <w:color w:val="000000"/>
                <w:kern w:val="0"/>
                <w:sz w:val="20"/>
                <w:szCs w:val="20"/>
                <w:lang w:val="en-US" w:eastAsia="zh-CN" w:bidi="ar"/>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轻微不罚</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1.违法行为轻微；</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2.在规定期限内及时改正；</w:t>
            </w:r>
            <w:r>
              <w:rPr>
                <w:rFonts w:hint="eastAsia" w:ascii="仿宋_GB2312" w:hAnsi="宋体" w:eastAsia="仿宋_GB2312" w:cs="仿宋_GB2312"/>
                <w:color w:val="000000"/>
                <w:kern w:val="0"/>
                <w:sz w:val="20"/>
                <w:szCs w:val="20"/>
                <w:lang w:val="en-US" w:eastAsia="zh-CN" w:bidi="ar"/>
              </w:rPr>
              <w:br w:type="textWrapping"/>
            </w:r>
            <w:r>
              <w:rPr>
                <w:rFonts w:hint="eastAsia" w:ascii="仿宋_GB2312" w:hAnsi="宋体" w:eastAsia="仿宋_GB2312" w:cs="仿宋_GB2312"/>
                <w:color w:val="000000"/>
                <w:kern w:val="0"/>
                <w:sz w:val="20"/>
                <w:szCs w:val="20"/>
                <w:lang w:val="en-US" w:eastAsia="zh-CN" w:bidi="ar"/>
              </w:rPr>
              <w:t>3.没有造成危害后果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trPr>
        <w:tc>
          <w:tcPr>
            <w:tcW w:w="735" w:type="dxa"/>
            <w:noWrap w:val="0"/>
            <w:vAlign w:val="center"/>
          </w:tcPr>
          <w:p>
            <w:pPr>
              <w:keepNext w:val="0"/>
              <w:keepLines w:val="0"/>
              <w:widowControl/>
              <w:suppressLineNumbers w:val="0"/>
              <w:jc w:val="center"/>
              <w:rPr>
                <w:rFonts w:hint="eastAsia" w:ascii="仿宋_GB2312" w:eastAsia="仿宋_GB2312" w:cs="仿宋_GB2312"/>
                <w:color w:val="000000"/>
                <w:sz w:val="28"/>
                <w:szCs w:val="28"/>
              </w:rPr>
            </w:pPr>
          </w:p>
        </w:tc>
        <w:tc>
          <w:tcPr>
            <w:tcW w:w="2760" w:type="dxa"/>
            <w:noWrap w:val="0"/>
            <w:vAlign w:val="center"/>
          </w:tcPr>
          <w:p>
            <w:pPr>
              <w:keepNext w:val="0"/>
              <w:keepLines w:val="0"/>
              <w:widowControl/>
              <w:suppressLineNumbers w:val="0"/>
              <w:jc w:val="left"/>
              <w:rPr>
                <w:rFonts w:hint="eastAsia" w:ascii="仿宋_GB2312" w:eastAsia="仿宋_GB2312" w:cs="仿宋_GB2312"/>
                <w:color w:val="000000"/>
                <w:sz w:val="28"/>
                <w:szCs w:val="28"/>
              </w:rPr>
            </w:pPr>
          </w:p>
        </w:tc>
        <w:tc>
          <w:tcPr>
            <w:tcW w:w="6300" w:type="dxa"/>
            <w:noWrap w:val="0"/>
            <w:vAlign w:val="center"/>
          </w:tcPr>
          <w:p>
            <w:pPr>
              <w:keepNext w:val="0"/>
              <w:keepLines w:val="0"/>
              <w:widowControl/>
              <w:suppressLineNumbers w:val="0"/>
              <w:jc w:val="left"/>
              <w:rPr>
                <w:rFonts w:hint="eastAsia" w:ascii="仿宋_GB2312" w:eastAsia="仿宋_GB2312" w:cs="仿宋_GB2312"/>
                <w:color w:val="000000"/>
                <w:sz w:val="28"/>
                <w:szCs w:val="28"/>
              </w:rPr>
            </w:pPr>
          </w:p>
        </w:tc>
        <w:tc>
          <w:tcPr>
            <w:tcW w:w="1740" w:type="dxa"/>
            <w:noWrap w:val="0"/>
            <w:vAlign w:val="center"/>
          </w:tcPr>
          <w:p>
            <w:pPr>
              <w:keepNext w:val="0"/>
              <w:keepLines w:val="0"/>
              <w:widowControl/>
              <w:suppressLineNumbers w:val="0"/>
              <w:jc w:val="center"/>
              <w:rPr>
                <w:rFonts w:hint="eastAsia" w:ascii="仿宋_GB2312" w:eastAsia="仿宋_GB2312" w:cs="仿宋_GB2312"/>
                <w:color w:val="000000"/>
                <w:sz w:val="28"/>
                <w:szCs w:val="28"/>
              </w:rPr>
            </w:pPr>
          </w:p>
        </w:tc>
        <w:tc>
          <w:tcPr>
            <w:tcW w:w="3045" w:type="dxa"/>
            <w:noWrap w:val="0"/>
            <w:vAlign w:val="center"/>
          </w:tcPr>
          <w:p>
            <w:pPr>
              <w:keepNext w:val="0"/>
              <w:keepLines w:val="0"/>
              <w:widowControl/>
              <w:suppressLineNumbers w:val="0"/>
              <w:jc w:val="left"/>
              <w:rPr>
                <w:rFonts w:hint="eastAsia" w:ascii="仿宋_GB2312" w:eastAsia="仿宋_GB2312" w:cs="仿宋_GB2312"/>
                <w:color w:val="000000"/>
                <w:sz w:val="28"/>
                <w:szCs w:val="28"/>
              </w:rPr>
            </w:pPr>
          </w:p>
        </w:tc>
      </w:tr>
    </w:tbl>
    <w:p/>
    <w:sectPr>
      <w:pgSz w:w="16838" w:h="11906" w:orient="landscape"/>
      <w:pgMar w:top="1803" w:right="1440" w:bottom="1803" w:left="1440" w:header="851" w:footer="992" w:gutter="0"/>
      <w:paperSrc/>
      <w:pgBorders w:offsetFrom="page">
        <w:top w:val="none" w:sz="0" w:space="0"/>
        <w:left w:val="none" w:sz="0" w:space="0"/>
        <w:bottom w:val="none" w:sz="0" w:space="0"/>
        <w:right w:val="none" w:sz="0" w:space="0"/>
      </w:pgBorders>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92CED"/>
    <w:rsid w:val="1DFD241A"/>
    <w:rsid w:val="33F92CED"/>
    <w:rsid w:val="7BFF65C5"/>
    <w:rsid w:val="7F1D005F"/>
    <w:rsid w:val="EB9E79EA"/>
    <w:rsid w:val="FFF9FC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27.3333333333333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2022-08-10T19:10:00Z</dcterms:created>
  <dc:creator>曹景雯</dc:creator>
  <cp:lastModifiedBy>greatwall</cp:lastModifiedBy>
  <dcterms:modified xsi:type="dcterms:W3CDTF">2022-10-12T11:13:17Z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